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2F64F">
      <w:pPr>
        <w:jc w:val="center"/>
        <w:rPr>
          <w:rFonts w:hint="eastAsia" w:ascii="黑体" w:hAnsi="黑体" w:eastAsia="黑体" w:cs="黑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报价单</w:t>
      </w:r>
    </w:p>
    <w:p w14:paraId="5101FDDF">
      <w:pPr>
        <w:bidi w:val="0"/>
        <w:ind w:firstLine="420" w:firstLineChars="0"/>
        <w:rPr>
          <w:rFonts w:hint="eastAsia"/>
          <w:u w:val="single"/>
          <w:lang w:val="en-US" w:eastAsia="zh-CN"/>
        </w:rPr>
      </w:pPr>
      <w:r>
        <w:rPr>
          <w:rFonts w:hint="eastAsia"/>
          <w:lang w:val="en-US" w:eastAsia="zh-CN"/>
        </w:rPr>
        <w:t>项目名称：</w:t>
      </w:r>
      <w:r>
        <w:rPr>
          <w:rFonts w:hint="eastAsia"/>
          <w:u w:val="single"/>
          <w:lang w:val="en-US" w:eastAsia="zh-CN"/>
        </w:rPr>
        <w:t>邕宇2024年5G六、七期室分一、三阶段工程施工集成服务项目。</w:t>
      </w:r>
    </w:p>
    <w:tbl>
      <w:tblPr>
        <w:tblW w:w="6084" w:type="pct"/>
        <w:tblInd w:w="-96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1844"/>
        <w:gridCol w:w="3487"/>
        <w:gridCol w:w="655"/>
        <w:gridCol w:w="814"/>
        <w:gridCol w:w="1115"/>
        <w:gridCol w:w="1115"/>
        <w:gridCol w:w="689"/>
      </w:tblGrid>
      <w:tr w14:paraId="26CAC912">
        <w:trPr>
          <w:trHeight w:val="34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568A2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27B8B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C449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规格、型号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5705B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0B7290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数量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54A4E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单价（元）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58B9C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总计（含税）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5FAC2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税率</w:t>
            </w:r>
          </w:p>
        </w:tc>
      </w:tr>
      <w:tr w14:paraId="2515F127">
        <w:trPr>
          <w:trHeight w:val="102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2F1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4A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空气开关箱（盒）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D6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可安装10个单相双极10A空开，满足10路供电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B3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C90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42E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48D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350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13%</w:t>
            </w:r>
          </w:p>
        </w:tc>
      </w:tr>
      <w:tr w14:paraId="2AFA6981">
        <w:trPr>
          <w:trHeight w:val="34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047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81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空气开关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02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6A/10A/20A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E0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426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468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4C7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4C9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EF7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13%</w:t>
            </w:r>
          </w:p>
        </w:tc>
      </w:tr>
      <w:tr w14:paraId="08718377">
        <w:trPr>
          <w:trHeight w:val="34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95F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98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PVC管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3A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Φ25，阻燃，A类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97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2FA7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48350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278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750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82D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13%</w:t>
            </w:r>
          </w:p>
        </w:tc>
      </w:tr>
      <w:tr w14:paraId="1DAFE5D4">
        <w:trPr>
          <w:trHeight w:val="34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65F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F7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PVC管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2E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Φ40，阻燃，A类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35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028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83050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87C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19E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6A0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13%</w:t>
            </w:r>
          </w:p>
        </w:tc>
      </w:tr>
      <w:tr w14:paraId="4A07C8BF">
        <w:trPr>
          <w:trHeight w:val="68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A2B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CC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室外主设备水泥基础平台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A3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500mm高各类设备简易平台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B6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平方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089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774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04C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A6D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13%</w:t>
            </w:r>
          </w:p>
        </w:tc>
      </w:tr>
      <w:tr w14:paraId="6FE26B4B">
        <w:trPr>
          <w:trHeight w:val="90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ED4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66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电表1（不要求报装）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32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不需向供电部门报装，在业务端安装电表（包工包料）。含电表安装的主材和辅材。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21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C2C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F32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12E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E6F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13%</w:t>
            </w:r>
          </w:p>
        </w:tc>
      </w:tr>
      <w:tr w14:paraId="25CA683B">
        <w:trPr>
          <w:trHeight w:val="1074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CCF9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5D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智能电表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C5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不需向供电部门报装，在业务端安装电表（包工包料）。含电表安装的主材和辅材。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5F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BA8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2D5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9C7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3B7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13%</w:t>
            </w:r>
          </w:p>
        </w:tc>
      </w:tr>
      <w:tr w14:paraId="0B45317E">
        <w:trPr>
          <w:trHeight w:val="735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8B7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3A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电表2（需报装）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93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需正式向供电部门报装，包工包料，含电表安装的主材和辅材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87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946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75F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EA9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3C7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13%</w:t>
            </w:r>
          </w:p>
        </w:tc>
      </w:tr>
      <w:tr w14:paraId="1B287C80">
        <w:trPr>
          <w:trHeight w:val="3539" w:hRule="atLeast"/>
        </w:trPr>
        <w:tc>
          <w:tcPr>
            <w:tcW w:w="3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DA9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B3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工程施工集成服务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64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室内信号覆盖及整治施工集成服务，包括传统室分、室分低成本和室分整治的施工服务,其中包括 4G/5G 传统室分系统站点的集成施工服务(含主设备的安装调试和拆除)、开通、验收全过程工作及售后服务、负责安装地下室及电梯的多载频基站放大拉远系统(即安装满格宝设备，不涉及传统主设备安装)，包括安装匹配信源的专用室分天线，馈线，无源器件等。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50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36C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34E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E7B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D61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0.09</w:t>
            </w:r>
          </w:p>
        </w:tc>
      </w:tr>
      <w:tr w14:paraId="243779E1">
        <w:trPr>
          <w:trHeight w:val="460" w:hRule="atLeast"/>
        </w:trPr>
        <w:tc>
          <w:tcPr>
            <w:tcW w:w="41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24E8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总计：</w:t>
            </w:r>
          </w:p>
        </w:tc>
        <w:tc>
          <w:tcPr>
            <w:tcW w:w="8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9E9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</w:tbl>
    <w:p w14:paraId="1BECECC0">
      <w:pPr>
        <w:bidi w:val="0"/>
        <w:rPr>
          <w:rFonts w:hint="default"/>
          <w:u w:val="single"/>
          <w:lang w:val="en-US" w:eastAsia="zh-CN"/>
        </w:rPr>
      </w:pPr>
    </w:p>
    <w:p w14:paraId="7BF59351">
      <w:pPr>
        <w:bidi w:val="0"/>
        <w:jc w:val="center"/>
        <w:rPr>
          <w:rFonts w:hint="eastAsia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 xml:space="preserve">                          报价单位：</w:t>
      </w:r>
    </w:p>
    <w:p w14:paraId="0A1CA4CF">
      <w:pPr>
        <w:bidi w:val="0"/>
        <w:jc w:val="center"/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 xml:space="preserve">                          </w:t>
      </w:r>
      <w:bookmarkStart w:id="0" w:name="_GoBack"/>
      <w:bookmarkEnd w:id="0"/>
      <w:r>
        <w:rPr>
          <w:rFonts w:hint="eastAsia"/>
          <w:u w:val="none"/>
          <w:lang w:val="en-US" w:eastAsia="zh-CN"/>
        </w:rPr>
        <w:t>报价日期：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zMmE3NGIyNzA3MjQ2YWIwNWMzZGE3NWJiNmJjNzQifQ=="/>
  </w:docVars>
  <w:rsids>
    <w:rsidRoot w:val="2EBB551F"/>
    <w:rsid w:val="2EBB551F"/>
    <w:rsid w:val="512D46A4"/>
    <w:rsid w:val="6FFE9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spacing w:before="100" w:after="90" w:line="360" w:lineRule="auto"/>
      <w:outlineLvl w:val="0"/>
    </w:pPr>
    <w:rPr>
      <w:rFonts w:ascii="Times New Roman" w:hAnsi="Times New Roman" w:eastAsia="方正仿宋_GBK" w:cs="Times New Roman"/>
      <w:b/>
      <w:kern w:val="44"/>
      <w:sz w:val="32"/>
      <w:szCs w:val="32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"/>
    <w:basedOn w:val="4"/>
    <w:uiPriority w:val="0"/>
    <w:pPr>
      <w:ind w:firstLine="420" w:firstLineChars="100"/>
    </w:pPr>
  </w:style>
  <w:style w:type="paragraph" w:styleId="4">
    <w:name w:val="Body Text"/>
    <w:basedOn w:val="1"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2025-12-18T10:28:00Z</dcterms:created>
  <dc:creator>何贤华</dc:creator>
  <cp:lastModifiedBy>何贤华</cp:lastModifiedBy>
  <dcterms:modified xsi:type="dcterms:W3CDTF">2025-12-23T15:39:23Z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B18015F9697443ED9A1A184EF8400893_11</vt:lpwstr>
  </property>
</Properties>
</file>