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498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1334"/>
        <w:gridCol w:w="1231"/>
        <w:gridCol w:w="4154"/>
        <w:gridCol w:w="1066"/>
        <w:gridCol w:w="1054"/>
        <w:gridCol w:w="1215"/>
      </w:tblGrid>
      <w:tr w14:paraId="450AF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2" w:hRule="atLeast"/>
        </w:trPr>
        <w:tc>
          <w:tcPr>
            <w:tcW w:w="1276" w:type="pct"/>
            <w:gridSpan w:val="2"/>
            <w:vAlign w:val="center"/>
          </w:tcPr>
          <w:p w14:paraId="0EF7F784">
            <w:pPr>
              <w:jc w:val="center"/>
              <w:rPr>
                <w:rFonts w:hint="default" w:ascii="Times New Roman" w:hAnsi="Times New Roman" w:eastAsia="宋体"/>
                <w:b/>
                <w:bCs/>
                <w:sz w:val="18"/>
                <w:szCs w:val="21"/>
                <w:vertAlign w:val="baseline"/>
                <w:lang w:val="en-US" w:eastAsia="zh-CN"/>
              </w:rPr>
            </w:pPr>
            <w:r>
              <w:rPr>
                <w:rFonts w:hint="eastAsia" w:ascii="Times New Roman" w:hAnsi="Times New Roman" w:eastAsia="宋体"/>
                <w:b/>
                <w:bCs/>
                <w:sz w:val="18"/>
                <w:szCs w:val="21"/>
                <w:vertAlign w:val="baseline"/>
                <w:lang w:val="en-US" w:eastAsia="zh-CN"/>
              </w:rPr>
              <w:t>公司名称</w:t>
            </w:r>
          </w:p>
        </w:tc>
        <w:tc>
          <w:tcPr>
            <w:tcW w:w="2066" w:type="pct"/>
            <w:vAlign w:val="center"/>
          </w:tcPr>
          <w:p w14:paraId="00EFE58F">
            <w:pPr>
              <w:jc w:val="center"/>
              <w:rPr>
                <w:rFonts w:ascii="Times New Roman" w:hAnsi="Times New Roman" w:eastAsia="宋体"/>
                <w:b/>
                <w:bCs/>
                <w:sz w:val="18"/>
                <w:szCs w:val="21"/>
                <w:vertAlign w:val="baseline"/>
              </w:rPr>
            </w:pPr>
          </w:p>
        </w:tc>
        <w:tc>
          <w:tcPr>
            <w:tcW w:w="529" w:type="pct"/>
            <w:vAlign w:val="center"/>
          </w:tcPr>
          <w:p w14:paraId="11A9697B">
            <w:pPr>
              <w:jc w:val="center"/>
              <w:rPr>
                <w:rFonts w:hint="default" w:ascii="Times New Roman" w:hAnsi="Times New Roman" w:eastAsia="宋体"/>
                <w:b/>
                <w:bCs/>
                <w:sz w:val="18"/>
                <w:szCs w:val="21"/>
                <w:vertAlign w:val="baseline"/>
                <w:lang w:val="en-US" w:eastAsia="zh-CN"/>
              </w:rPr>
            </w:pPr>
            <w:r>
              <w:rPr>
                <w:rFonts w:hint="eastAsia" w:ascii="Times New Roman" w:hAnsi="Times New Roman" w:eastAsia="宋体"/>
                <w:b/>
                <w:bCs/>
                <w:sz w:val="18"/>
                <w:szCs w:val="21"/>
                <w:vertAlign w:val="baseline"/>
                <w:lang w:val="en-US" w:eastAsia="zh-CN"/>
              </w:rPr>
              <w:t>项目名称</w:t>
            </w:r>
          </w:p>
        </w:tc>
        <w:tc>
          <w:tcPr>
            <w:tcW w:w="1127" w:type="pct"/>
            <w:gridSpan w:val="2"/>
            <w:vAlign w:val="center"/>
          </w:tcPr>
          <w:p w14:paraId="5DA99AC1">
            <w:pPr>
              <w:jc w:val="center"/>
              <w:rPr>
                <w:rFonts w:ascii="Times New Roman" w:hAnsi="Times New Roman" w:eastAsia="宋体"/>
                <w:b/>
                <w:bCs/>
                <w:sz w:val="18"/>
                <w:szCs w:val="21"/>
                <w:vertAlign w:val="baseline"/>
              </w:rPr>
            </w:pPr>
          </w:p>
        </w:tc>
      </w:tr>
      <w:tr w14:paraId="2E7F7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77" w:hRule="atLeast"/>
        </w:trPr>
        <w:tc>
          <w:tcPr>
            <w:tcW w:w="1276" w:type="pct"/>
            <w:gridSpan w:val="2"/>
            <w:vAlign w:val="center"/>
          </w:tcPr>
          <w:p w14:paraId="2F6F9716">
            <w:pPr>
              <w:jc w:val="center"/>
              <w:rPr>
                <w:rFonts w:hint="default" w:ascii="Times New Roman" w:hAnsi="Times New Roman" w:eastAsia="宋体"/>
                <w:b/>
                <w:bCs/>
                <w:sz w:val="18"/>
                <w:szCs w:val="21"/>
                <w:vertAlign w:val="baseline"/>
                <w:lang w:val="en-US" w:eastAsia="zh-CN"/>
              </w:rPr>
            </w:pPr>
            <w:r>
              <w:rPr>
                <w:rFonts w:hint="eastAsia" w:ascii="Times New Roman" w:hAnsi="Times New Roman" w:eastAsia="宋体"/>
                <w:b/>
                <w:bCs/>
                <w:sz w:val="18"/>
                <w:szCs w:val="21"/>
                <w:vertAlign w:val="baseline"/>
                <w:lang w:val="en-US" w:eastAsia="zh-CN"/>
              </w:rPr>
              <w:t>报价联系人</w:t>
            </w:r>
          </w:p>
        </w:tc>
        <w:tc>
          <w:tcPr>
            <w:tcW w:w="2066" w:type="pct"/>
            <w:vAlign w:val="center"/>
          </w:tcPr>
          <w:p w14:paraId="1D42C1D0">
            <w:pPr>
              <w:jc w:val="center"/>
              <w:rPr>
                <w:rFonts w:ascii="Times New Roman" w:hAnsi="Times New Roman" w:eastAsia="宋体"/>
                <w:b/>
                <w:bCs/>
                <w:sz w:val="18"/>
                <w:szCs w:val="21"/>
                <w:vertAlign w:val="baseline"/>
              </w:rPr>
            </w:pPr>
          </w:p>
        </w:tc>
        <w:tc>
          <w:tcPr>
            <w:tcW w:w="529" w:type="pct"/>
            <w:vAlign w:val="center"/>
          </w:tcPr>
          <w:p w14:paraId="023379D3">
            <w:pPr>
              <w:jc w:val="center"/>
              <w:rPr>
                <w:rFonts w:hint="default" w:ascii="Times New Roman" w:hAnsi="Times New Roman" w:eastAsia="宋体"/>
                <w:b/>
                <w:bCs/>
                <w:sz w:val="18"/>
                <w:szCs w:val="21"/>
                <w:vertAlign w:val="baseline"/>
                <w:lang w:val="en-US" w:eastAsia="zh-CN"/>
              </w:rPr>
            </w:pPr>
            <w:r>
              <w:rPr>
                <w:rFonts w:hint="eastAsia" w:ascii="Times New Roman" w:hAnsi="Times New Roman" w:eastAsia="宋体"/>
                <w:b/>
                <w:bCs/>
                <w:sz w:val="18"/>
                <w:szCs w:val="21"/>
                <w:vertAlign w:val="baseline"/>
                <w:lang w:val="en-US" w:eastAsia="zh-CN"/>
              </w:rPr>
              <w:t>报价时间</w:t>
            </w:r>
          </w:p>
        </w:tc>
        <w:tc>
          <w:tcPr>
            <w:tcW w:w="1127" w:type="pct"/>
            <w:gridSpan w:val="2"/>
            <w:vAlign w:val="center"/>
          </w:tcPr>
          <w:p w14:paraId="1CE4544E">
            <w:pPr>
              <w:jc w:val="center"/>
              <w:rPr>
                <w:rFonts w:ascii="Times New Roman" w:hAnsi="Times New Roman" w:eastAsia="宋体"/>
                <w:b/>
                <w:bCs/>
                <w:sz w:val="18"/>
                <w:szCs w:val="21"/>
                <w:vertAlign w:val="baseline"/>
              </w:rPr>
            </w:pPr>
          </w:p>
        </w:tc>
      </w:tr>
      <w:tr w14:paraId="7D801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449" w:hRule="atLeast"/>
        </w:trPr>
        <w:tc>
          <w:tcPr>
            <w:tcW w:w="5000" w:type="pct"/>
            <w:gridSpan w:val="6"/>
            <w:vAlign w:val="center"/>
          </w:tcPr>
          <w:p w14:paraId="38FD3926">
            <w:pPr>
              <w:jc w:val="center"/>
              <w:rPr>
                <w:rFonts w:hint="default" w:ascii="Times New Roman" w:hAnsi="Times New Roman" w:eastAsia="宋体"/>
                <w:sz w:val="18"/>
                <w:szCs w:val="21"/>
                <w:vertAlign w:val="baseline"/>
                <w:lang w:val="en-US" w:eastAsia="zh-CN"/>
              </w:rPr>
            </w:pPr>
            <w:r>
              <w:rPr>
                <w:rFonts w:hint="eastAsia" w:ascii="黑体" w:hAnsi="黑体" w:eastAsia="黑体" w:cs="黑体"/>
                <w:b/>
                <w:bCs/>
                <w:sz w:val="22"/>
                <w:szCs w:val="28"/>
                <w:vertAlign w:val="baseline"/>
                <w:lang w:val="en-US" w:eastAsia="zh-CN"/>
              </w:rPr>
              <w:t>网站和政务新媒体绩效评估及监测普查服务报价单</w:t>
            </w:r>
          </w:p>
        </w:tc>
      </w:tr>
      <w:tr w14:paraId="4C328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64" w:type="pct"/>
            <w:vAlign w:val="center"/>
          </w:tcPr>
          <w:p w14:paraId="7EEEC10F">
            <w:pPr>
              <w:jc w:val="center"/>
              <w:rPr>
                <w:rFonts w:hint="default" w:ascii="Times New Roman" w:hAnsi="Times New Roman" w:eastAsia="宋体"/>
                <w:b/>
                <w:bCs/>
                <w:sz w:val="18"/>
                <w:szCs w:val="21"/>
                <w:vertAlign w:val="baseline"/>
                <w:lang w:val="en-US" w:eastAsia="zh-CN"/>
              </w:rPr>
            </w:pPr>
            <w:r>
              <w:rPr>
                <w:rFonts w:hint="eastAsia" w:ascii="Times New Roman" w:hAnsi="Times New Roman" w:eastAsia="宋体"/>
                <w:b/>
                <w:bCs/>
                <w:sz w:val="18"/>
                <w:szCs w:val="21"/>
                <w:vertAlign w:val="baseline"/>
                <w:lang w:val="en-US" w:eastAsia="zh-CN"/>
              </w:rPr>
              <w:t>服务</w:t>
            </w:r>
          </w:p>
        </w:tc>
        <w:tc>
          <w:tcPr>
            <w:tcW w:w="612" w:type="pct"/>
            <w:vAlign w:val="center"/>
          </w:tcPr>
          <w:p w14:paraId="43C83BD3">
            <w:pPr>
              <w:jc w:val="center"/>
              <w:rPr>
                <w:rFonts w:hint="default" w:ascii="Times New Roman" w:hAnsi="Times New Roman" w:eastAsia="宋体"/>
                <w:b/>
                <w:bCs/>
                <w:sz w:val="18"/>
                <w:szCs w:val="21"/>
                <w:vertAlign w:val="baseline"/>
                <w:lang w:val="en-US" w:eastAsia="zh-CN"/>
              </w:rPr>
            </w:pPr>
            <w:r>
              <w:rPr>
                <w:rFonts w:hint="eastAsia" w:ascii="Times New Roman" w:hAnsi="Times New Roman" w:eastAsia="宋体"/>
                <w:b/>
                <w:bCs/>
                <w:sz w:val="18"/>
                <w:szCs w:val="21"/>
                <w:vertAlign w:val="baseline"/>
                <w:lang w:val="en-US" w:eastAsia="zh-CN"/>
              </w:rPr>
              <w:t>服务内容</w:t>
            </w:r>
          </w:p>
        </w:tc>
        <w:tc>
          <w:tcPr>
            <w:tcW w:w="2066" w:type="pct"/>
            <w:vAlign w:val="center"/>
          </w:tcPr>
          <w:p w14:paraId="5CA9749D">
            <w:pPr>
              <w:jc w:val="center"/>
              <w:rPr>
                <w:rFonts w:hint="default" w:ascii="Times New Roman" w:hAnsi="Times New Roman" w:eastAsia="宋体"/>
                <w:b/>
                <w:bCs/>
                <w:sz w:val="18"/>
                <w:szCs w:val="21"/>
                <w:vertAlign w:val="baseline"/>
                <w:lang w:val="en-US" w:eastAsia="zh-CN"/>
              </w:rPr>
            </w:pPr>
            <w:r>
              <w:rPr>
                <w:rFonts w:hint="eastAsia" w:ascii="Times New Roman" w:hAnsi="Times New Roman" w:eastAsia="宋体"/>
                <w:b/>
                <w:bCs/>
                <w:sz w:val="18"/>
                <w:szCs w:val="21"/>
                <w:vertAlign w:val="baseline"/>
                <w:lang w:val="en-US" w:eastAsia="zh-CN"/>
              </w:rPr>
              <w:t>描述说明</w:t>
            </w:r>
          </w:p>
        </w:tc>
        <w:tc>
          <w:tcPr>
            <w:tcW w:w="529" w:type="pct"/>
            <w:vAlign w:val="center"/>
          </w:tcPr>
          <w:p w14:paraId="34494A68">
            <w:pPr>
              <w:jc w:val="center"/>
              <w:rPr>
                <w:rFonts w:hint="default" w:ascii="Times New Roman" w:hAnsi="Times New Roman" w:eastAsia="宋体"/>
                <w:b/>
                <w:bCs/>
                <w:sz w:val="18"/>
                <w:szCs w:val="21"/>
                <w:vertAlign w:val="baseline"/>
                <w:lang w:val="en-US" w:eastAsia="zh-CN"/>
              </w:rPr>
            </w:pPr>
            <w:r>
              <w:rPr>
                <w:rFonts w:hint="eastAsia" w:ascii="Times New Roman" w:hAnsi="Times New Roman" w:eastAsia="宋体"/>
                <w:b/>
                <w:bCs/>
                <w:sz w:val="18"/>
                <w:szCs w:val="21"/>
                <w:vertAlign w:val="baseline"/>
                <w:lang w:val="en-US" w:eastAsia="zh-CN"/>
              </w:rPr>
              <w:t>服务周期</w:t>
            </w:r>
          </w:p>
        </w:tc>
        <w:tc>
          <w:tcPr>
            <w:tcW w:w="524" w:type="pct"/>
            <w:vAlign w:val="center"/>
          </w:tcPr>
          <w:p w14:paraId="07831AF1">
            <w:pPr>
              <w:jc w:val="center"/>
              <w:rPr>
                <w:rFonts w:hint="default" w:ascii="Times New Roman" w:hAnsi="Times New Roman" w:eastAsia="宋体"/>
                <w:b/>
                <w:bCs/>
                <w:sz w:val="18"/>
                <w:szCs w:val="21"/>
                <w:vertAlign w:val="baseline"/>
                <w:lang w:val="en-US" w:eastAsia="zh-CN"/>
              </w:rPr>
            </w:pPr>
            <w:r>
              <w:rPr>
                <w:rFonts w:hint="eastAsia" w:ascii="Times New Roman" w:hAnsi="Times New Roman" w:eastAsia="宋体"/>
                <w:b/>
                <w:bCs/>
                <w:sz w:val="18"/>
                <w:szCs w:val="21"/>
                <w:vertAlign w:val="baseline"/>
                <w:lang w:val="en-US" w:eastAsia="zh-CN"/>
              </w:rPr>
              <w:t>报价（元）</w:t>
            </w:r>
          </w:p>
        </w:tc>
        <w:tc>
          <w:tcPr>
            <w:tcW w:w="602" w:type="pct"/>
            <w:vAlign w:val="center"/>
          </w:tcPr>
          <w:p w14:paraId="1346465B">
            <w:pPr>
              <w:jc w:val="center"/>
              <w:rPr>
                <w:rFonts w:hint="eastAsia" w:ascii="Times New Roman" w:hAnsi="Times New Roman" w:eastAsia="宋体"/>
                <w:b/>
                <w:bCs/>
                <w:sz w:val="18"/>
                <w:szCs w:val="21"/>
                <w:vertAlign w:val="baseline"/>
                <w:lang w:val="en-US" w:eastAsia="zh-CN"/>
              </w:rPr>
            </w:pPr>
            <w:r>
              <w:rPr>
                <w:rFonts w:hint="eastAsia" w:ascii="Times New Roman" w:hAnsi="Times New Roman" w:eastAsia="宋体"/>
                <w:b/>
                <w:bCs/>
                <w:sz w:val="18"/>
                <w:szCs w:val="21"/>
                <w:vertAlign w:val="baseline"/>
                <w:lang w:val="en-US" w:eastAsia="zh-CN"/>
              </w:rPr>
              <w:t>备注</w:t>
            </w:r>
          </w:p>
        </w:tc>
      </w:tr>
      <w:tr w14:paraId="0A7F6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07" w:hRule="atLeast"/>
        </w:trPr>
        <w:tc>
          <w:tcPr>
            <w:tcW w:w="664" w:type="pct"/>
            <w:vMerge w:val="restart"/>
            <w:vAlign w:val="center"/>
          </w:tcPr>
          <w:p w14:paraId="2715EC9F">
            <w:pPr>
              <w:ind w:left="440" w:hanging="361" w:hangingChars="200"/>
              <w:jc w:val="both"/>
              <w:rPr>
                <w:rFonts w:hint="default" w:ascii="Times New Roman" w:hAnsi="Times New Roman" w:eastAsia="宋体"/>
                <w:b/>
                <w:bCs/>
                <w:sz w:val="18"/>
                <w:szCs w:val="21"/>
                <w:vertAlign w:val="baseline"/>
                <w:lang w:val="en-US" w:eastAsia="zh-CN"/>
              </w:rPr>
            </w:pPr>
            <w:r>
              <w:rPr>
                <w:rFonts w:hint="eastAsia" w:ascii="Times New Roman" w:hAnsi="Times New Roman" w:eastAsia="宋体"/>
                <w:b/>
                <w:bCs/>
                <w:sz w:val="18"/>
                <w:szCs w:val="21"/>
                <w:vertAlign w:val="baseline"/>
                <w:lang w:val="en-US" w:eastAsia="zh-CN"/>
              </w:rPr>
              <w:t>一、绩效评  估服务</w:t>
            </w:r>
          </w:p>
        </w:tc>
        <w:tc>
          <w:tcPr>
            <w:tcW w:w="612" w:type="pct"/>
            <w:vMerge w:val="restart"/>
            <w:vAlign w:val="center"/>
          </w:tcPr>
          <w:p w14:paraId="7B00EEB4">
            <w:pPr>
              <w:jc w:val="center"/>
              <w:rPr>
                <w:rFonts w:hint="default" w:ascii="Times New Roman" w:hAnsi="Times New Roman" w:eastAsia="宋体"/>
                <w:b/>
                <w:bCs/>
                <w:sz w:val="18"/>
                <w:szCs w:val="21"/>
                <w:vertAlign w:val="baseline"/>
                <w:lang w:val="en-US" w:eastAsia="zh-CN"/>
              </w:rPr>
            </w:pPr>
            <w:r>
              <w:rPr>
                <w:rFonts w:hint="eastAsia" w:ascii="Times New Roman" w:hAnsi="Times New Roman" w:eastAsia="宋体"/>
                <w:b/>
                <w:bCs/>
                <w:sz w:val="18"/>
                <w:szCs w:val="21"/>
                <w:vertAlign w:val="baseline"/>
                <w:lang w:val="en-US" w:eastAsia="zh-CN"/>
              </w:rPr>
              <w:t>网站绩效评估</w:t>
            </w:r>
          </w:p>
        </w:tc>
        <w:tc>
          <w:tcPr>
            <w:tcW w:w="2066" w:type="pct"/>
            <w:vAlign w:val="center"/>
          </w:tcPr>
          <w:p w14:paraId="3867A7DD">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ascii="Times New Roman" w:hAnsi="Times New Roman" w:eastAsia="宋体"/>
                <w:sz w:val="18"/>
                <w:szCs w:val="21"/>
                <w:vertAlign w:val="baseline"/>
              </w:rPr>
            </w:pPr>
            <w:r>
              <w:rPr>
                <w:rFonts w:hint="eastAsia" w:ascii="Times New Roman" w:hAnsi="Times New Roman" w:eastAsia="宋体"/>
                <w:sz w:val="18"/>
                <w:szCs w:val="21"/>
                <w:vertAlign w:val="baseline"/>
              </w:rPr>
              <w:t>对标最新的全区政府网站与政务新媒体续效评估实施方案等文件要求，对中国(广西)自由贸易试验区钦州港片区网站、中马钦州产业园按季度进行网站评估诊断，并出具绩效评估报告</w:t>
            </w:r>
            <w:r>
              <w:rPr>
                <w:rFonts w:hint="eastAsia" w:ascii="Times New Roman" w:hAnsi="Times New Roman" w:eastAsia="宋体"/>
                <w:sz w:val="18"/>
                <w:szCs w:val="21"/>
                <w:vertAlign w:val="baseline"/>
                <w:lang w:eastAsia="zh-CN"/>
              </w:rPr>
              <w:t>。</w:t>
            </w:r>
            <w:r>
              <w:rPr>
                <w:rFonts w:hint="eastAsia" w:ascii="Times New Roman" w:hAnsi="Times New Roman" w:eastAsia="宋体"/>
                <w:sz w:val="18"/>
                <w:szCs w:val="21"/>
                <w:vertAlign w:val="baseline"/>
              </w:rPr>
              <w:t>报告包含扣分情况、问题分类、问题栏目名称、问描述、问题栏目网址、问题栏目截图等和相应的整改建议及专业指导等，确保网站达到全区政府绩效考评指标要求，不被单否或进黑名单。</w:t>
            </w:r>
          </w:p>
        </w:tc>
        <w:tc>
          <w:tcPr>
            <w:tcW w:w="529" w:type="pct"/>
            <w:vAlign w:val="center"/>
          </w:tcPr>
          <w:p w14:paraId="10E8A67C">
            <w:pPr>
              <w:jc w:val="center"/>
              <w:rPr>
                <w:rFonts w:hint="default" w:ascii="Times New Roman" w:hAnsi="Times New Roman" w:eastAsia="宋体"/>
                <w:sz w:val="18"/>
                <w:szCs w:val="21"/>
                <w:vertAlign w:val="baseline"/>
                <w:lang w:val="en-US" w:eastAsia="zh-CN"/>
              </w:rPr>
            </w:pPr>
            <w:r>
              <w:rPr>
                <w:rFonts w:hint="eastAsia" w:ascii="Times New Roman" w:hAnsi="Times New Roman" w:eastAsia="宋体"/>
                <w:sz w:val="18"/>
                <w:szCs w:val="21"/>
                <w:vertAlign w:val="baseline"/>
                <w:lang w:val="en-US" w:eastAsia="zh-CN"/>
              </w:rPr>
              <w:t>一年四次</w:t>
            </w:r>
          </w:p>
        </w:tc>
        <w:tc>
          <w:tcPr>
            <w:tcW w:w="524" w:type="pct"/>
            <w:vMerge w:val="restart"/>
            <w:vAlign w:val="center"/>
          </w:tcPr>
          <w:p w14:paraId="5B5C7DF9">
            <w:pPr>
              <w:jc w:val="both"/>
              <w:rPr>
                <w:rFonts w:ascii="Times New Roman" w:hAnsi="Times New Roman" w:eastAsia="宋体"/>
                <w:sz w:val="18"/>
                <w:szCs w:val="21"/>
                <w:vertAlign w:val="baseline"/>
              </w:rPr>
            </w:pPr>
          </w:p>
        </w:tc>
        <w:tc>
          <w:tcPr>
            <w:tcW w:w="602" w:type="pct"/>
            <w:vAlign w:val="center"/>
          </w:tcPr>
          <w:p w14:paraId="640B1B5C">
            <w:pPr>
              <w:jc w:val="both"/>
              <w:rPr>
                <w:rFonts w:hint="default" w:ascii="Times New Roman" w:hAnsi="Times New Roman" w:eastAsia="宋体"/>
                <w:sz w:val="18"/>
                <w:szCs w:val="21"/>
                <w:vertAlign w:val="baseline"/>
                <w:lang w:val="en-US" w:eastAsia="zh-CN"/>
              </w:rPr>
            </w:pPr>
            <w:r>
              <w:rPr>
                <w:rFonts w:hint="eastAsia" w:ascii="Times New Roman" w:hAnsi="Times New Roman" w:eastAsia="宋体"/>
                <w:sz w:val="18"/>
                <w:szCs w:val="21"/>
                <w:vertAlign w:val="baseline"/>
                <w:lang w:val="en-US" w:eastAsia="zh-CN"/>
              </w:rPr>
              <w:t>每季度提供网站绩效评估报告</w:t>
            </w:r>
          </w:p>
        </w:tc>
      </w:tr>
      <w:tr w14:paraId="2B702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07" w:hRule="atLeast"/>
        </w:trPr>
        <w:tc>
          <w:tcPr>
            <w:tcW w:w="664" w:type="pct"/>
            <w:vMerge w:val="continue"/>
            <w:vAlign w:val="center"/>
          </w:tcPr>
          <w:p w14:paraId="47BF121C">
            <w:pPr>
              <w:jc w:val="both"/>
              <w:rPr>
                <w:rFonts w:ascii="Times New Roman" w:hAnsi="Times New Roman" w:eastAsia="宋体"/>
                <w:b/>
                <w:bCs/>
                <w:sz w:val="18"/>
                <w:szCs w:val="21"/>
              </w:rPr>
            </w:pPr>
          </w:p>
        </w:tc>
        <w:tc>
          <w:tcPr>
            <w:tcW w:w="612" w:type="pct"/>
            <w:vMerge w:val="continue"/>
            <w:tcBorders/>
            <w:vAlign w:val="center"/>
          </w:tcPr>
          <w:p w14:paraId="6ABAFFC3">
            <w:pPr>
              <w:jc w:val="both"/>
              <w:rPr>
                <w:rFonts w:hint="eastAsia" w:ascii="Times New Roman" w:hAnsi="Times New Roman" w:eastAsia="宋体"/>
                <w:b/>
                <w:bCs/>
                <w:sz w:val="18"/>
                <w:szCs w:val="21"/>
                <w:vertAlign w:val="baseline"/>
                <w:lang w:val="en-US" w:eastAsia="zh-CN"/>
              </w:rPr>
            </w:pPr>
          </w:p>
        </w:tc>
        <w:tc>
          <w:tcPr>
            <w:tcW w:w="2066" w:type="pct"/>
            <w:vAlign w:val="center"/>
          </w:tcPr>
          <w:p w14:paraId="09B52D10">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Times New Roman" w:hAnsi="Times New Roman" w:eastAsia="宋体"/>
                <w:sz w:val="18"/>
                <w:szCs w:val="21"/>
                <w:vertAlign w:val="baseline"/>
                <w:lang w:val="en-US" w:eastAsia="zh-CN"/>
              </w:rPr>
            </w:pPr>
            <w:r>
              <w:rPr>
                <w:rFonts w:hint="eastAsia" w:ascii="Times New Roman" w:hAnsi="Times New Roman" w:eastAsia="宋体"/>
                <w:sz w:val="18"/>
                <w:szCs w:val="21"/>
                <w:vertAlign w:val="baseline"/>
                <w:lang w:val="en-US" w:eastAsia="zh-CN"/>
              </w:rPr>
              <w:t>对标最新的全区政府网站与政务新媒体绩效评估实施方案等文件要求，对中国(广西)自由贸易试验区钦州港片区、中马钦州产业园区管委会网站开展网站评估诊断，并出具绩效评估报告。报告包含扣分情况、问题分类、问题栏目名称、问题描述、问题栏目网址、问题栏目截图等和相应的整改建议及专业指导等，确保网站达到全区政府缋效考评指标要求，不被单否或进黑名单。</w:t>
            </w:r>
          </w:p>
        </w:tc>
        <w:tc>
          <w:tcPr>
            <w:tcW w:w="529" w:type="pct"/>
            <w:vAlign w:val="center"/>
          </w:tcPr>
          <w:p w14:paraId="5736D92B">
            <w:pPr>
              <w:jc w:val="center"/>
              <w:rPr>
                <w:rFonts w:hint="eastAsia" w:ascii="Times New Roman" w:hAnsi="Times New Roman" w:eastAsia="宋体"/>
                <w:sz w:val="18"/>
                <w:szCs w:val="21"/>
                <w:vertAlign w:val="baseline"/>
                <w:lang w:val="en-US" w:eastAsia="zh-CN"/>
              </w:rPr>
            </w:pPr>
            <w:r>
              <w:rPr>
                <w:rFonts w:hint="eastAsia" w:ascii="Times New Roman" w:hAnsi="Times New Roman" w:eastAsia="宋体"/>
                <w:sz w:val="18"/>
                <w:szCs w:val="21"/>
                <w:vertAlign w:val="baseline"/>
                <w:lang w:val="en-US" w:eastAsia="zh-CN"/>
              </w:rPr>
              <w:t>一年一次</w:t>
            </w:r>
          </w:p>
        </w:tc>
        <w:tc>
          <w:tcPr>
            <w:tcW w:w="524" w:type="pct"/>
            <w:vMerge w:val="continue"/>
            <w:tcBorders/>
            <w:vAlign w:val="center"/>
          </w:tcPr>
          <w:p w14:paraId="040D8A7F">
            <w:pPr>
              <w:jc w:val="both"/>
              <w:rPr>
                <w:rFonts w:hint="eastAsia" w:ascii="Times New Roman" w:hAnsi="Times New Roman" w:eastAsia="宋体"/>
                <w:sz w:val="18"/>
                <w:szCs w:val="21"/>
                <w:vertAlign w:val="baseline"/>
                <w:lang w:val="en-US" w:eastAsia="zh-CN"/>
              </w:rPr>
            </w:pPr>
          </w:p>
        </w:tc>
        <w:tc>
          <w:tcPr>
            <w:tcW w:w="602" w:type="pct"/>
            <w:vAlign w:val="center"/>
          </w:tcPr>
          <w:p w14:paraId="15417DF6">
            <w:pPr>
              <w:jc w:val="both"/>
              <w:rPr>
                <w:rFonts w:hint="default" w:ascii="Times New Roman" w:hAnsi="Times New Roman" w:eastAsia="宋体"/>
                <w:sz w:val="18"/>
                <w:szCs w:val="21"/>
                <w:vertAlign w:val="baseline"/>
                <w:lang w:val="en-US" w:eastAsia="zh-CN"/>
              </w:rPr>
            </w:pPr>
            <w:r>
              <w:rPr>
                <w:rFonts w:hint="eastAsia" w:ascii="Times New Roman" w:hAnsi="Times New Roman" w:eastAsia="宋体"/>
                <w:sz w:val="18"/>
                <w:szCs w:val="21"/>
                <w:vertAlign w:val="baseline"/>
                <w:lang w:val="en-US" w:eastAsia="zh-CN"/>
              </w:rPr>
              <w:t>每年提供一期网站绩效评估报告</w:t>
            </w:r>
          </w:p>
        </w:tc>
      </w:tr>
      <w:tr w14:paraId="6F646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64" w:type="pct"/>
            <w:vMerge w:val="continue"/>
            <w:tcBorders/>
            <w:vAlign w:val="center"/>
          </w:tcPr>
          <w:p w14:paraId="60B77604">
            <w:pPr>
              <w:jc w:val="both"/>
              <w:rPr>
                <w:rFonts w:hint="eastAsia" w:ascii="Times New Roman" w:hAnsi="Times New Roman" w:eastAsia="宋体"/>
                <w:b/>
                <w:bCs/>
                <w:sz w:val="18"/>
                <w:szCs w:val="21"/>
                <w:vertAlign w:val="baseline"/>
                <w:lang w:val="en-US" w:eastAsia="zh-CN"/>
              </w:rPr>
            </w:pPr>
          </w:p>
        </w:tc>
        <w:tc>
          <w:tcPr>
            <w:tcW w:w="612" w:type="pct"/>
            <w:vAlign w:val="center"/>
          </w:tcPr>
          <w:p w14:paraId="4A4C3DBE">
            <w:pPr>
              <w:jc w:val="center"/>
              <w:rPr>
                <w:rFonts w:hint="default" w:ascii="Times New Roman" w:hAnsi="Times New Roman" w:eastAsia="宋体"/>
                <w:b/>
                <w:bCs/>
                <w:sz w:val="18"/>
                <w:szCs w:val="21"/>
                <w:vertAlign w:val="baseline"/>
                <w:lang w:val="en-US" w:eastAsia="zh-CN"/>
              </w:rPr>
            </w:pPr>
            <w:r>
              <w:rPr>
                <w:rFonts w:hint="eastAsia" w:ascii="Times New Roman" w:hAnsi="Times New Roman" w:eastAsia="宋体"/>
                <w:b/>
                <w:bCs/>
                <w:sz w:val="18"/>
                <w:szCs w:val="21"/>
                <w:vertAlign w:val="baseline"/>
                <w:lang w:val="en-US" w:eastAsia="zh-CN"/>
              </w:rPr>
              <w:t>新媒体绩效评估</w:t>
            </w:r>
          </w:p>
        </w:tc>
        <w:tc>
          <w:tcPr>
            <w:tcW w:w="2066" w:type="pct"/>
            <w:vAlign w:val="center"/>
          </w:tcPr>
          <w:p w14:paraId="08523371">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ascii="Times New Roman" w:hAnsi="Times New Roman" w:eastAsia="宋体"/>
                <w:sz w:val="18"/>
                <w:szCs w:val="21"/>
                <w:vertAlign w:val="baseline"/>
              </w:rPr>
            </w:pPr>
            <w:r>
              <w:rPr>
                <w:rFonts w:hint="eastAsia" w:ascii="Times New Roman" w:hAnsi="Times New Roman" w:eastAsia="宋体"/>
                <w:sz w:val="18"/>
                <w:szCs w:val="21"/>
                <w:vertAlign w:val="baseline"/>
              </w:rPr>
              <w:t>对标最新的全区政府网站与政务新媒体绩效评估实施方案等文件要求，对自贸试验区钦州港片区、中马钦州产业园区两个微信号开展评估诊断，并出具绩效评估报告，确保网站达到全区政府绩效考评指标要求，不被单否或进黑名单。</w:t>
            </w:r>
          </w:p>
        </w:tc>
        <w:tc>
          <w:tcPr>
            <w:tcW w:w="529" w:type="pct"/>
            <w:vAlign w:val="center"/>
          </w:tcPr>
          <w:p w14:paraId="1C83F3A0">
            <w:pPr>
              <w:jc w:val="center"/>
              <w:rPr>
                <w:rFonts w:hint="default" w:ascii="Times New Roman" w:hAnsi="Times New Roman" w:eastAsia="宋体"/>
                <w:sz w:val="18"/>
                <w:szCs w:val="21"/>
                <w:vertAlign w:val="baseline"/>
                <w:lang w:val="en-US" w:eastAsia="zh-CN"/>
              </w:rPr>
            </w:pPr>
            <w:r>
              <w:rPr>
                <w:rFonts w:hint="eastAsia" w:ascii="Times New Roman" w:hAnsi="Times New Roman" w:eastAsia="宋体"/>
                <w:sz w:val="18"/>
                <w:szCs w:val="21"/>
                <w:vertAlign w:val="baseline"/>
                <w:lang w:val="en-US" w:eastAsia="zh-CN"/>
              </w:rPr>
              <w:t>一年一次</w:t>
            </w:r>
          </w:p>
        </w:tc>
        <w:tc>
          <w:tcPr>
            <w:tcW w:w="524" w:type="pct"/>
            <w:vMerge w:val="continue"/>
            <w:tcBorders/>
            <w:vAlign w:val="center"/>
          </w:tcPr>
          <w:p w14:paraId="2969B73F">
            <w:pPr>
              <w:jc w:val="both"/>
              <w:rPr>
                <w:rFonts w:ascii="Times New Roman" w:hAnsi="Times New Roman" w:eastAsia="宋体"/>
                <w:sz w:val="18"/>
                <w:szCs w:val="21"/>
                <w:vertAlign w:val="baseline"/>
              </w:rPr>
            </w:pPr>
          </w:p>
        </w:tc>
        <w:tc>
          <w:tcPr>
            <w:tcW w:w="602" w:type="pct"/>
            <w:vAlign w:val="center"/>
          </w:tcPr>
          <w:p w14:paraId="06A6D4F7">
            <w:pPr>
              <w:jc w:val="both"/>
              <w:rPr>
                <w:rFonts w:ascii="Times New Roman" w:hAnsi="Times New Roman" w:eastAsia="宋体"/>
                <w:sz w:val="18"/>
                <w:szCs w:val="21"/>
                <w:vertAlign w:val="baseline"/>
              </w:rPr>
            </w:pPr>
            <w:r>
              <w:rPr>
                <w:rFonts w:hint="eastAsia" w:ascii="Times New Roman" w:hAnsi="Times New Roman" w:eastAsia="宋体"/>
                <w:sz w:val="18"/>
                <w:szCs w:val="21"/>
                <w:vertAlign w:val="baseline"/>
                <w:lang w:val="en-US" w:eastAsia="zh-CN"/>
              </w:rPr>
              <w:t>每年提供一期网站绩效评估报告</w:t>
            </w:r>
          </w:p>
        </w:tc>
      </w:tr>
      <w:tr w14:paraId="16024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64" w:type="pct"/>
            <w:vMerge w:val="restart"/>
            <w:vAlign w:val="center"/>
          </w:tcPr>
          <w:p w14:paraId="26000BB9">
            <w:pPr>
              <w:jc w:val="both"/>
              <w:rPr>
                <w:rFonts w:hint="default" w:ascii="Times New Roman" w:hAnsi="Times New Roman" w:eastAsia="宋体"/>
                <w:b/>
                <w:bCs/>
                <w:sz w:val="18"/>
                <w:szCs w:val="21"/>
                <w:vertAlign w:val="baseline"/>
                <w:lang w:val="en-US" w:eastAsia="zh-CN"/>
              </w:rPr>
            </w:pPr>
            <w:r>
              <w:rPr>
                <w:rFonts w:hint="eastAsia" w:ascii="Times New Roman" w:hAnsi="Times New Roman" w:eastAsia="宋体"/>
                <w:b/>
                <w:bCs/>
                <w:sz w:val="18"/>
                <w:szCs w:val="21"/>
                <w:vertAlign w:val="baseline"/>
                <w:lang w:val="en-US" w:eastAsia="zh-CN"/>
              </w:rPr>
              <w:t>二、网站和政务新媒体监测普查服务</w:t>
            </w:r>
          </w:p>
        </w:tc>
        <w:tc>
          <w:tcPr>
            <w:tcW w:w="612" w:type="pct"/>
            <w:vAlign w:val="center"/>
          </w:tcPr>
          <w:p w14:paraId="51D6F9D4">
            <w:pPr>
              <w:jc w:val="center"/>
              <w:rPr>
                <w:rFonts w:hint="eastAsia" w:ascii="Times New Roman" w:hAnsi="Times New Roman" w:eastAsia="宋体"/>
                <w:b/>
                <w:bCs/>
                <w:sz w:val="18"/>
                <w:szCs w:val="21"/>
                <w:vertAlign w:val="baseline"/>
                <w:lang w:val="en-US" w:eastAsia="zh-CN"/>
              </w:rPr>
            </w:pPr>
            <w:r>
              <w:rPr>
                <w:rFonts w:hint="eastAsia" w:ascii="Times New Roman" w:hAnsi="Times New Roman" w:eastAsia="宋体"/>
                <w:b/>
                <w:bCs/>
                <w:sz w:val="18"/>
                <w:szCs w:val="21"/>
                <w:vertAlign w:val="baseline"/>
                <w:lang w:val="en-US" w:eastAsia="zh-CN"/>
              </w:rPr>
              <w:t>历史内容安全性彻查</w:t>
            </w:r>
          </w:p>
        </w:tc>
        <w:tc>
          <w:tcPr>
            <w:tcW w:w="2066" w:type="pct"/>
            <w:vAlign w:val="center"/>
          </w:tcPr>
          <w:p w14:paraId="1E8028A9">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ascii="Times New Roman" w:hAnsi="Times New Roman" w:eastAsia="宋体"/>
                <w:sz w:val="18"/>
                <w:szCs w:val="21"/>
                <w:vertAlign w:val="baseline"/>
              </w:rPr>
            </w:pPr>
            <w:r>
              <w:rPr>
                <w:rFonts w:hint="eastAsia" w:ascii="Times New Roman" w:hAnsi="Times New Roman" w:eastAsia="宋体"/>
                <w:sz w:val="18"/>
                <w:szCs w:val="21"/>
                <w:vertAlign w:val="baseline"/>
              </w:rPr>
              <w:t>针对网站和政务新媒体的历史发文数据，开展内容安全性(时政类表述错误、领导人姓名、职务、地名、机构名、政治敏感词汇、错别字)扫描和查，并提供对指定词汇进行专项采集，人工二次复核之后形成整改文件。</w:t>
            </w:r>
          </w:p>
        </w:tc>
        <w:tc>
          <w:tcPr>
            <w:tcW w:w="529" w:type="pct"/>
            <w:vAlign w:val="center"/>
          </w:tcPr>
          <w:p w14:paraId="4CEB11EB">
            <w:pPr>
              <w:jc w:val="center"/>
              <w:rPr>
                <w:rFonts w:hint="eastAsia" w:ascii="Times New Roman" w:hAnsi="Times New Roman" w:eastAsia="宋体"/>
                <w:sz w:val="18"/>
                <w:szCs w:val="21"/>
                <w:vertAlign w:val="baseline"/>
                <w:lang w:val="en-US" w:eastAsia="zh-CN"/>
              </w:rPr>
            </w:pPr>
            <w:r>
              <w:rPr>
                <w:rFonts w:hint="eastAsia" w:ascii="Times New Roman" w:hAnsi="Times New Roman" w:eastAsia="宋体"/>
                <w:sz w:val="18"/>
                <w:szCs w:val="21"/>
                <w:vertAlign w:val="baseline"/>
                <w:lang w:val="en-US" w:eastAsia="zh-CN"/>
              </w:rPr>
              <w:t>一年四次</w:t>
            </w:r>
          </w:p>
        </w:tc>
        <w:tc>
          <w:tcPr>
            <w:tcW w:w="524" w:type="pct"/>
            <w:vMerge w:val="restart"/>
            <w:vAlign w:val="center"/>
          </w:tcPr>
          <w:p w14:paraId="4081F169">
            <w:pPr>
              <w:jc w:val="both"/>
              <w:rPr>
                <w:rFonts w:ascii="Times New Roman" w:hAnsi="Times New Roman" w:eastAsia="宋体"/>
                <w:sz w:val="18"/>
                <w:szCs w:val="21"/>
                <w:vertAlign w:val="baseline"/>
              </w:rPr>
            </w:pPr>
          </w:p>
        </w:tc>
        <w:tc>
          <w:tcPr>
            <w:tcW w:w="602" w:type="pct"/>
            <w:vAlign w:val="center"/>
          </w:tcPr>
          <w:p w14:paraId="1BB666E2">
            <w:pPr>
              <w:jc w:val="both"/>
              <w:rPr>
                <w:rFonts w:hint="default" w:ascii="Times New Roman" w:hAnsi="Times New Roman" w:eastAsia="宋体"/>
                <w:sz w:val="18"/>
                <w:szCs w:val="21"/>
                <w:vertAlign w:val="baseline"/>
                <w:lang w:val="en-US" w:eastAsia="zh-CN"/>
              </w:rPr>
            </w:pPr>
            <w:r>
              <w:rPr>
                <w:rFonts w:hint="eastAsia" w:ascii="Times New Roman" w:hAnsi="Times New Roman" w:eastAsia="宋体"/>
                <w:sz w:val="18"/>
                <w:szCs w:val="21"/>
                <w:vertAlign w:val="baseline"/>
                <w:lang w:val="en-US" w:eastAsia="zh-CN"/>
              </w:rPr>
              <w:t>每季度一次</w:t>
            </w:r>
          </w:p>
        </w:tc>
      </w:tr>
      <w:tr w14:paraId="57D89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64" w:type="pct"/>
            <w:vMerge w:val="continue"/>
            <w:tcBorders/>
            <w:vAlign w:val="center"/>
          </w:tcPr>
          <w:p w14:paraId="5FB475B1">
            <w:pPr>
              <w:jc w:val="both"/>
              <w:rPr>
                <w:rFonts w:hint="default" w:ascii="Times New Roman" w:hAnsi="Times New Roman" w:eastAsia="宋体"/>
                <w:b/>
                <w:bCs/>
                <w:sz w:val="18"/>
                <w:szCs w:val="21"/>
                <w:vertAlign w:val="baseline"/>
                <w:lang w:val="en-US" w:eastAsia="zh-CN"/>
              </w:rPr>
            </w:pPr>
          </w:p>
        </w:tc>
        <w:tc>
          <w:tcPr>
            <w:tcW w:w="612" w:type="pct"/>
            <w:vAlign w:val="center"/>
          </w:tcPr>
          <w:p w14:paraId="4CF752A7">
            <w:pPr>
              <w:jc w:val="center"/>
              <w:rPr>
                <w:rFonts w:hint="default" w:ascii="Times New Roman" w:hAnsi="Times New Roman" w:eastAsia="宋体"/>
                <w:b/>
                <w:bCs/>
                <w:sz w:val="18"/>
                <w:szCs w:val="21"/>
                <w:vertAlign w:val="baseline"/>
                <w:lang w:val="en-US" w:eastAsia="zh-CN"/>
              </w:rPr>
            </w:pPr>
            <w:r>
              <w:rPr>
                <w:rFonts w:hint="eastAsia" w:ascii="Times New Roman" w:hAnsi="Times New Roman" w:eastAsia="宋体"/>
                <w:b/>
                <w:bCs/>
                <w:sz w:val="18"/>
                <w:szCs w:val="21"/>
                <w:vertAlign w:val="baseline"/>
                <w:lang w:val="en-US" w:eastAsia="zh-CN"/>
              </w:rPr>
              <w:t>新增内容错敏词检测</w:t>
            </w:r>
          </w:p>
        </w:tc>
        <w:tc>
          <w:tcPr>
            <w:tcW w:w="2066" w:type="pct"/>
            <w:vAlign w:val="center"/>
          </w:tcPr>
          <w:p w14:paraId="2FEB4AFD">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ascii="Times New Roman" w:hAnsi="Times New Roman" w:eastAsia="宋体"/>
                <w:sz w:val="18"/>
                <w:szCs w:val="21"/>
                <w:vertAlign w:val="baseline"/>
              </w:rPr>
            </w:pPr>
            <w:r>
              <w:rPr>
                <w:rFonts w:hint="eastAsia" w:ascii="Times New Roman" w:hAnsi="Times New Roman" w:eastAsia="宋体"/>
                <w:sz w:val="18"/>
                <w:szCs w:val="21"/>
                <w:vertAlign w:val="baseline"/>
              </w:rPr>
              <w:t>错敏词和更新内容实现“日监测整改、整改周复核，月度一汇总"，重大错误实现短信/微信告警，每周形成整改文件。</w:t>
            </w:r>
          </w:p>
        </w:tc>
        <w:tc>
          <w:tcPr>
            <w:tcW w:w="529" w:type="pct"/>
            <w:vAlign w:val="center"/>
          </w:tcPr>
          <w:p w14:paraId="5E5245D0">
            <w:pPr>
              <w:jc w:val="center"/>
              <w:rPr>
                <w:rFonts w:hint="default" w:ascii="Times New Roman" w:hAnsi="Times New Roman" w:eastAsia="宋体"/>
                <w:sz w:val="18"/>
                <w:szCs w:val="21"/>
                <w:vertAlign w:val="baseline"/>
                <w:lang w:val="en-US" w:eastAsia="zh-CN"/>
              </w:rPr>
            </w:pPr>
            <w:r>
              <w:rPr>
                <w:rFonts w:hint="eastAsia" w:ascii="Times New Roman" w:hAnsi="Times New Roman" w:eastAsia="宋体"/>
                <w:sz w:val="18"/>
                <w:szCs w:val="21"/>
                <w:vertAlign w:val="baseline"/>
                <w:lang w:val="en-US" w:eastAsia="zh-CN"/>
              </w:rPr>
              <w:t>一年52周</w:t>
            </w:r>
          </w:p>
        </w:tc>
        <w:tc>
          <w:tcPr>
            <w:tcW w:w="524" w:type="pct"/>
            <w:vMerge w:val="continue"/>
            <w:tcBorders/>
            <w:vAlign w:val="center"/>
          </w:tcPr>
          <w:p w14:paraId="50EEB86C">
            <w:pPr>
              <w:jc w:val="both"/>
              <w:rPr>
                <w:rFonts w:ascii="Times New Roman" w:hAnsi="Times New Roman" w:eastAsia="宋体"/>
                <w:sz w:val="18"/>
                <w:szCs w:val="21"/>
                <w:vertAlign w:val="baseline"/>
              </w:rPr>
            </w:pPr>
          </w:p>
        </w:tc>
        <w:tc>
          <w:tcPr>
            <w:tcW w:w="602" w:type="pct"/>
            <w:vAlign w:val="center"/>
          </w:tcPr>
          <w:p w14:paraId="0465793B">
            <w:pPr>
              <w:jc w:val="both"/>
              <w:rPr>
                <w:rFonts w:ascii="Times New Roman" w:hAnsi="Times New Roman" w:eastAsia="宋体"/>
                <w:sz w:val="18"/>
                <w:szCs w:val="21"/>
                <w:vertAlign w:val="baseline"/>
              </w:rPr>
            </w:pPr>
          </w:p>
        </w:tc>
      </w:tr>
      <w:tr w14:paraId="217BF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64" w:type="pct"/>
            <w:vMerge w:val="continue"/>
            <w:tcBorders/>
            <w:vAlign w:val="center"/>
          </w:tcPr>
          <w:p w14:paraId="5A95D6E6">
            <w:pPr>
              <w:jc w:val="both"/>
              <w:rPr>
                <w:rFonts w:hint="default" w:ascii="Times New Roman" w:hAnsi="Times New Roman" w:eastAsia="宋体"/>
                <w:b/>
                <w:bCs/>
                <w:sz w:val="18"/>
                <w:szCs w:val="21"/>
                <w:vertAlign w:val="baseline"/>
                <w:lang w:val="en-US" w:eastAsia="zh-CN"/>
              </w:rPr>
            </w:pPr>
          </w:p>
        </w:tc>
        <w:tc>
          <w:tcPr>
            <w:tcW w:w="612" w:type="pct"/>
            <w:vAlign w:val="center"/>
          </w:tcPr>
          <w:p w14:paraId="588BD0E1">
            <w:pPr>
              <w:jc w:val="center"/>
              <w:rPr>
                <w:rFonts w:hint="default" w:ascii="Times New Roman" w:hAnsi="Times New Roman" w:eastAsia="宋体"/>
                <w:b/>
                <w:bCs/>
                <w:sz w:val="18"/>
                <w:szCs w:val="21"/>
                <w:vertAlign w:val="baseline"/>
                <w:lang w:val="en-US" w:eastAsia="zh-CN"/>
              </w:rPr>
            </w:pPr>
            <w:r>
              <w:rPr>
                <w:rFonts w:hint="eastAsia" w:ascii="Times New Roman" w:hAnsi="Times New Roman" w:eastAsia="宋体"/>
                <w:b/>
                <w:bCs/>
                <w:sz w:val="18"/>
                <w:szCs w:val="21"/>
                <w:vertAlign w:val="baseline"/>
                <w:lang w:val="en-US" w:eastAsia="zh-CN"/>
              </w:rPr>
              <w:t>可用性监测</w:t>
            </w:r>
          </w:p>
        </w:tc>
        <w:tc>
          <w:tcPr>
            <w:tcW w:w="2066" w:type="pct"/>
            <w:vAlign w:val="center"/>
          </w:tcPr>
          <w:p w14:paraId="25FDF8D7">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ascii="Times New Roman" w:hAnsi="Times New Roman" w:eastAsia="宋体"/>
                <w:sz w:val="18"/>
                <w:szCs w:val="21"/>
                <w:vertAlign w:val="baseline"/>
              </w:rPr>
            </w:pPr>
            <w:r>
              <w:rPr>
                <w:rFonts w:hint="eastAsia" w:ascii="Times New Roman" w:hAnsi="Times New Roman" w:eastAsia="宋体"/>
                <w:sz w:val="18"/>
                <w:szCs w:val="21"/>
                <w:vertAlign w:val="baseline"/>
              </w:rPr>
              <w:t>针对网站全站的链接可用性进行检查，重点检查网站栏目链接以及文章内容中存在的黑链、外链(被植入其他广告网站等链接)和栏目错链(错误404链接)等问题，以及空白栏目，并形成整改文件。</w:t>
            </w:r>
          </w:p>
        </w:tc>
        <w:tc>
          <w:tcPr>
            <w:tcW w:w="529" w:type="pct"/>
            <w:vAlign w:val="center"/>
          </w:tcPr>
          <w:p w14:paraId="4C8EE9EB">
            <w:pPr>
              <w:jc w:val="center"/>
              <w:rPr>
                <w:rFonts w:hint="eastAsia" w:ascii="Times New Roman" w:hAnsi="Times New Roman" w:eastAsia="宋体"/>
                <w:sz w:val="18"/>
                <w:szCs w:val="21"/>
                <w:vertAlign w:val="baseline"/>
                <w:lang w:val="en-US" w:eastAsia="zh-CN"/>
              </w:rPr>
            </w:pPr>
            <w:r>
              <w:rPr>
                <w:rFonts w:hint="eastAsia" w:ascii="Times New Roman" w:hAnsi="Times New Roman" w:eastAsia="宋体"/>
                <w:sz w:val="18"/>
                <w:szCs w:val="21"/>
                <w:vertAlign w:val="baseline"/>
                <w:lang w:val="en-US" w:eastAsia="zh-CN"/>
              </w:rPr>
              <w:t>一年四次</w:t>
            </w:r>
          </w:p>
        </w:tc>
        <w:tc>
          <w:tcPr>
            <w:tcW w:w="524" w:type="pct"/>
            <w:vMerge w:val="continue"/>
            <w:tcBorders/>
            <w:vAlign w:val="center"/>
          </w:tcPr>
          <w:p w14:paraId="15203569">
            <w:pPr>
              <w:jc w:val="both"/>
              <w:rPr>
                <w:rFonts w:ascii="Times New Roman" w:hAnsi="Times New Roman" w:eastAsia="宋体"/>
                <w:sz w:val="18"/>
                <w:szCs w:val="21"/>
                <w:vertAlign w:val="baseline"/>
              </w:rPr>
            </w:pPr>
          </w:p>
        </w:tc>
        <w:tc>
          <w:tcPr>
            <w:tcW w:w="602" w:type="pct"/>
            <w:vAlign w:val="center"/>
          </w:tcPr>
          <w:p w14:paraId="697716D2">
            <w:pPr>
              <w:jc w:val="both"/>
              <w:rPr>
                <w:rFonts w:ascii="Times New Roman" w:hAnsi="Times New Roman" w:eastAsia="宋体"/>
                <w:sz w:val="18"/>
                <w:szCs w:val="21"/>
                <w:vertAlign w:val="baseline"/>
              </w:rPr>
            </w:pPr>
            <w:r>
              <w:rPr>
                <w:rFonts w:hint="eastAsia" w:ascii="Times New Roman" w:hAnsi="Times New Roman" w:eastAsia="宋体"/>
                <w:sz w:val="18"/>
                <w:szCs w:val="21"/>
                <w:vertAlign w:val="baseline"/>
                <w:lang w:val="en-US" w:eastAsia="zh-CN"/>
              </w:rPr>
              <w:t>每季度一次</w:t>
            </w:r>
          </w:p>
        </w:tc>
      </w:tr>
      <w:tr w14:paraId="588BF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64" w:type="pct"/>
            <w:vMerge w:val="continue"/>
            <w:tcBorders/>
            <w:vAlign w:val="center"/>
          </w:tcPr>
          <w:p w14:paraId="3B533FD3">
            <w:pPr>
              <w:jc w:val="both"/>
              <w:rPr>
                <w:rFonts w:hint="default" w:ascii="Times New Roman" w:hAnsi="Times New Roman" w:eastAsia="宋体"/>
                <w:b/>
                <w:bCs/>
                <w:sz w:val="18"/>
                <w:szCs w:val="21"/>
                <w:vertAlign w:val="baseline"/>
                <w:lang w:val="en-US" w:eastAsia="zh-CN"/>
              </w:rPr>
            </w:pPr>
          </w:p>
        </w:tc>
        <w:tc>
          <w:tcPr>
            <w:tcW w:w="612" w:type="pct"/>
            <w:vAlign w:val="center"/>
          </w:tcPr>
          <w:p w14:paraId="3363DA46">
            <w:pPr>
              <w:jc w:val="center"/>
              <w:rPr>
                <w:rFonts w:hint="default" w:ascii="Times New Roman" w:hAnsi="Times New Roman" w:eastAsia="宋体"/>
                <w:b/>
                <w:bCs/>
                <w:sz w:val="18"/>
                <w:szCs w:val="21"/>
                <w:vertAlign w:val="baseline"/>
                <w:lang w:val="en-US" w:eastAsia="zh-CN"/>
              </w:rPr>
            </w:pPr>
            <w:r>
              <w:rPr>
                <w:rFonts w:hint="eastAsia" w:ascii="Times New Roman" w:hAnsi="Times New Roman" w:eastAsia="宋体"/>
                <w:b/>
                <w:bCs/>
                <w:sz w:val="18"/>
                <w:szCs w:val="21"/>
                <w:vertAlign w:val="baseline"/>
                <w:lang w:val="en-US" w:eastAsia="zh-CN"/>
              </w:rPr>
              <w:t>网站检测服务</w:t>
            </w:r>
          </w:p>
        </w:tc>
        <w:tc>
          <w:tcPr>
            <w:tcW w:w="2066" w:type="pct"/>
            <w:vAlign w:val="center"/>
          </w:tcPr>
          <w:p w14:paraId="4568B7B8">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Times New Roman" w:hAnsi="Times New Roman" w:eastAsia="宋体"/>
                <w:sz w:val="18"/>
                <w:szCs w:val="21"/>
                <w:vertAlign w:val="baseline"/>
              </w:rPr>
            </w:pPr>
            <w:r>
              <w:rPr>
                <w:rFonts w:hint="eastAsia" w:ascii="Times New Roman" w:hAnsi="Times New Roman" w:eastAsia="宋体"/>
                <w:sz w:val="18"/>
                <w:szCs w:val="21"/>
                <w:vertAlign w:val="baseline"/>
              </w:rPr>
              <w:t>在成熟软件产品基础上，严格按照国办对政府网站和政务新媒体的检查指标对门户网站进行24小时不间断常态化监测服务，并采用人工核查服务，对重大错误预警通知和提醒。包括:一、网站状态监测，实时反映网站状态。包含对网站首页可访间性、网站栏目更新频率、重要板块稿件可访问性等进行24小时巡查:、网站安全监测</w:t>
            </w:r>
          </w:p>
          <w:p w14:paraId="31211927">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Times New Roman" w:hAnsi="Times New Roman" w:eastAsia="宋体"/>
                <w:sz w:val="18"/>
                <w:szCs w:val="21"/>
                <w:vertAlign w:val="baseline"/>
              </w:rPr>
            </w:pPr>
            <w:r>
              <w:rPr>
                <w:rFonts w:hint="eastAsia" w:ascii="Times New Roman" w:hAnsi="Times New Roman" w:eastAsia="宋体"/>
                <w:sz w:val="18"/>
                <w:szCs w:val="21"/>
                <w:vertAlign w:val="baseline"/>
              </w:rPr>
              <w:t>1.附件内容、隐私信息等安全、泄密事项检查</w:t>
            </w:r>
            <w:r>
              <w:rPr>
                <w:rFonts w:hint="eastAsia" w:ascii="Times New Roman" w:hAnsi="Times New Roman" w:eastAsia="宋体"/>
                <w:sz w:val="18"/>
                <w:szCs w:val="21"/>
                <w:vertAlign w:val="baseline"/>
                <w:lang w:eastAsia="zh-CN"/>
              </w:rPr>
              <w:t>；</w:t>
            </w:r>
            <w:r>
              <w:rPr>
                <w:rFonts w:hint="eastAsia" w:ascii="Times New Roman" w:hAnsi="Times New Roman" w:eastAsia="宋体"/>
                <w:sz w:val="18"/>
                <w:szCs w:val="21"/>
                <w:vertAlign w:val="baseline"/>
              </w:rPr>
              <w:t>2.监测网站是否泄露国家秘密</w:t>
            </w:r>
            <w:r>
              <w:rPr>
                <w:rFonts w:hint="eastAsia" w:ascii="Times New Roman" w:hAnsi="Times New Roman" w:eastAsia="宋体"/>
                <w:sz w:val="18"/>
                <w:szCs w:val="21"/>
                <w:vertAlign w:val="baseline"/>
                <w:lang w:eastAsia="zh-CN"/>
              </w:rPr>
              <w:t>；</w:t>
            </w:r>
            <w:r>
              <w:rPr>
                <w:rFonts w:hint="eastAsia" w:ascii="Times New Roman" w:hAnsi="Times New Roman" w:eastAsia="宋体"/>
                <w:sz w:val="18"/>
                <w:szCs w:val="21"/>
                <w:vertAlign w:val="baseline"/>
              </w:rPr>
              <w:t>3.是否发布或链接反动、暴力、色情等内容。</w:t>
            </w:r>
          </w:p>
          <w:p w14:paraId="32AC2F81">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Times New Roman" w:hAnsi="Times New Roman" w:eastAsia="宋体"/>
                <w:sz w:val="18"/>
                <w:szCs w:val="21"/>
                <w:vertAlign w:val="baseline"/>
              </w:rPr>
            </w:pPr>
            <w:r>
              <w:rPr>
                <w:rFonts w:hint="eastAsia" w:ascii="Times New Roman" w:hAnsi="Times New Roman" w:eastAsia="宋体"/>
                <w:sz w:val="18"/>
                <w:szCs w:val="21"/>
                <w:vertAlign w:val="baseline"/>
              </w:rPr>
              <w:t>三、技术响应</w:t>
            </w:r>
          </w:p>
          <w:p w14:paraId="5E1B1779">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ascii="Times New Roman" w:hAnsi="Times New Roman" w:eastAsia="宋体"/>
                <w:sz w:val="18"/>
                <w:szCs w:val="21"/>
                <w:vertAlign w:val="baseline"/>
              </w:rPr>
            </w:pPr>
            <w:r>
              <w:rPr>
                <w:rFonts w:hint="eastAsia" w:ascii="Times New Roman" w:hAnsi="Times New Roman" w:eastAsia="宋体"/>
                <w:sz w:val="18"/>
                <w:szCs w:val="21"/>
                <w:vertAlign w:val="baseline"/>
              </w:rPr>
              <w:t>服务网站出现问题或需要技术支持时，公司将指定专员在12小时内在线回应并提供服务。</w:t>
            </w:r>
          </w:p>
        </w:tc>
        <w:tc>
          <w:tcPr>
            <w:tcW w:w="529" w:type="pct"/>
            <w:vAlign w:val="center"/>
          </w:tcPr>
          <w:p w14:paraId="2E841A21">
            <w:pPr>
              <w:jc w:val="center"/>
              <w:rPr>
                <w:rFonts w:hint="default" w:ascii="Times New Roman" w:hAnsi="Times New Roman" w:eastAsia="宋体"/>
                <w:sz w:val="18"/>
                <w:szCs w:val="21"/>
                <w:vertAlign w:val="baseline"/>
                <w:lang w:val="en-US" w:eastAsia="zh-CN"/>
              </w:rPr>
            </w:pPr>
            <w:r>
              <w:rPr>
                <w:rFonts w:hint="eastAsia" w:ascii="Times New Roman" w:hAnsi="Times New Roman" w:eastAsia="宋体"/>
                <w:sz w:val="18"/>
                <w:szCs w:val="21"/>
                <w:vertAlign w:val="baseline"/>
                <w:lang w:val="en-US" w:eastAsia="zh-CN"/>
              </w:rPr>
              <w:t>一年</w:t>
            </w:r>
          </w:p>
        </w:tc>
        <w:tc>
          <w:tcPr>
            <w:tcW w:w="524" w:type="pct"/>
            <w:vMerge w:val="continue"/>
            <w:tcBorders/>
            <w:vAlign w:val="center"/>
          </w:tcPr>
          <w:p w14:paraId="0DE6A0EC">
            <w:pPr>
              <w:jc w:val="both"/>
              <w:rPr>
                <w:rFonts w:ascii="Times New Roman" w:hAnsi="Times New Roman" w:eastAsia="宋体"/>
                <w:sz w:val="18"/>
                <w:szCs w:val="21"/>
                <w:vertAlign w:val="baseline"/>
              </w:rPr>
            </w:pPr>
          </w:p>
        </w:tc>
        <w:tc>
          <w:tcPr>
            <w:tcW w:w="602" w:type="pct"/>
            <w:vAlign w:val="center"/>
          </w:tcPr>
          <w:p w14:paraId="40318A50">
            <w:pPr>
              <w:jc w:val="both"/>
              <w:rPr>
                <w:rFonts w:ascii="Times New Roman" w:hAnsi="Times New Roman" w:eastAsia="宋体"/>
                <w:sz w:val="18"/>
                <w:szCs w:val="21"/>
                <w:vertAlign w:val="baseline"/>
              </w:rPr>
            </w:pPr>
          </w:p>
        </w:tc>
      </w:tr>
      <w:tr w14:paraId="48402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64" w:type="pct"/>
            <w:vMerge w:val="continue"/>
            <w:tcBorders/>
            <w:vAlign w:val="center"/>
          </w:tcPr>
          <w:p w14:paraId="798510F0">
            <w:pPr>
              <w:jc w:val="both"/>
              <w:rPr>
                <w:rFonts w:hint="default" w:ascii="Times New Roman" w:hAnsi="Times New Roman" w:eastAsia="宋体"/>
                <w:b/>
                <w:bCs/>
                <w:sz w:val="18"/>
                <w:szCs w:val="21"/>
                <w:vertAlign w:val="baseline"/>
                <w:lang w:val="en-US" w:eastAsia="zh-CN"/>
              </w:rPr>
            </w:pPr>
          </w:p>
        </w:tc>
        <w:tc>
          <w:tcPr>
            <w:tcW w:w="612" w:type="pct"/>
            <w:vAlign w:val="center"/>
          </w:tcPr>
          <w:p w14:paraId="73A1DE57">
            <w:pPr>
              <w:jc w:val="both"/>
              <w:rPr>
                <w:rFonts w:hint="default" w:ascii="Times New Roman" w:hAnsi="Times New Roman" w:eastAsia="宋体"/>
                <w:b/>
                <w:bCs/>
                <w:sz w:val="18"/>
                <w:szCs w:val="21"/>
                <w:vertAlign w:val="baseline"/>
                <w:lang w:val="en-US" w:eastAsia="zh-CN"/>
              </w:rPr>
            </w:pPr>
            <w:r>
              <w:rPr>
                <w:rFonts w:hint="eastAsia" w:ascii="Times New Roman" w:hAnsi="Times New Roman" w:eastAsia="宋体"/>
                <w:b/>
                <w:bCs/>
                <w:sz w:val="18"/>
                <w:szCs w:val="21"/>
                <w:vertAlign w:val="baseline"/>
                <w:lang w:val="en-US" w:eastAsia="zh-CN"/>
              </w:rPr>
              <w:t>网站全面检查服务</w:t>
            </w:r>
          </w:p>
        </w:tc>
        <w:tc>
          <w:tcPr>
            <w:tcW w:w="2066" w:type="pct"/>
            <w:vAlign w:val="center"/>
          </w:tcPr>
          <w:p w14:paraId="7F7F286F">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ascii="Times New Roman" w:hAnsi="Times New Roman" w:eastAsia="宋体"/>
                <w:sz w:val="18"/>
                <w:szCs w:val="21"/>
                <w:vertAlign w:val="baseline"/>
              </w:rPr>
            </w:pPr>
            <w:r>
              <w:rPr>
                <w:rFonts w:hint="eastAsia" w:ascii="Times New Roman" w:hAnsi="Times New Roman" w:eastAsia="宋体"/>
                <w:sz w:val="18"/>
                <w:szCs w:val="21"/>
                <w:vertAlign w:val="baseline"/>
              </w:rPr>
              <w:t>对门户网站严格按照《国务院办公厅秘书局关于印发政府网站与政务新媒体检查指标》的三大部分指标(单项否决项，加分项与扣分项)的网站各项指标要求，通过对网站监测数据以及对政策文件、政策解读解读比例、解读关联、办事内容准确度、站内搜索表格样表、IPv6改造情况、页面兼容性等信息进行人工核实筛选出具数据报告或问题清单作为服务交付成果。</w:t>
            </w:r>
          </w:p>
        </w:tc>
        <w:tc>
          <w:tcPr>
            <w:tcW w:w="529" w:type="pct"/>
            <w:vAlign w:val="center"/>
          </w:tcPr>
          <w:p w14:paraId="658D9471">
            <w:pPr>
              <w:jc w:val="center"/>
              <w:rPr>
                <w:rFonts w:hint="eastAsia" w:ascii="Times New Roman" w:hAnsi="Times New Roman" w:eastAsia="宋体"/>
                <w:sz w:val="18"/>
                <w:szCs w:val="21"/>
                <w:vertAlign w:val="baseline"/>
                <w:lang w:val="en-US" w:eastAsia="zh-CN"/>
              </w:rPr>
            </w:pPr>
            <w:r>
              <w:rPr>
                <w:rFonts w:hint="eastAsia" w:ascii="Times New Roman" w:hAnsi="Times New Roman" w:eastAsia="宋体"/>
                <w:sz w:val="18"/>
                <w:szCs w:val="21"/>
                <w:vertAlign w:val="baseline"/>
                <w:lang w:val="en-US" w:eastAsia="zh-CN"/>
              </w:rPr>
              <w:t>一年四期</w:t>
            </w:r>
          </w:p>
        </w:tc>
        <w:tc>
          <w:tcPr>
            <w:tcW w:w="524" w:type="pct"/>
            <w:vMerge w:val="continue"/>
            <w:tcBorders/>
            <w:vAlign w:val="center"/>
          </w:tcPr>
          <w:p w14:paraId="69BB157A">
            <w:pPr>
              <w:jc w:val="both"/>
              <w:rPr>
                <w:rFonts w:ascii="Times New Roman" w:hAnsi="Times New Roman" w:eastAsia="宋体"/>
                <w:sz w:val="18"/>
                <w:szCs w:val="21"/>
                <w:vertAlign w:val="baseline"/>
              </w:rPr>
            </w:pPr>
          </w:p>
        </w:tc>
        <w:tc>
          <w:tcPr>
            <w:tcW w:w="602" w:type="pct"/>
            <w:vAlign w:val="center"/>
          </w:tcPr>
          <w:p w14:paraId="23FDDD82">
            <w:pPr>
              <w:jc w:val="both"/>
              <w:rPr>
                <w:rFonts w:hint="default" w:ascii="Times New Roman" w:hAnsi="Times New Roman" w:eastAsia="宋体"/>
                <w:sz w:val="18"/>
                <w:szCs w:val="21"/>
                <w:vertAlign w:val="baseline"/>
                <w:lang w:val="en-US" w:eastAsia="zh-CN"/>
              </w:rPr>
            </w:pPr>
            <w:r>
              <w:rPr>
                <w:rFonts w:hint="eastAsia" w:ascii="Times New Roman" w:hAnsi="Times New Roman" w:eastAsia="宋体"/>
                <w:sz w:val="18"/>
                <w:szCs w:val="21"/>
                <w:vertAlign w:val="baseline"/>
                <w:lang w:val="en-US" w:eastAsia="zh-CN"/>
              </w:rPr>
              <w:t>每季度出具一期网站全面检查报告</w:t>
            </w:r>
          </w:p>
        </w:tc>
      </w:tr>
      <w:tr w14:paraId="6555D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417" w:hRule="atLeast"/>
        </w:trPr>
        <w:tc>
          <w:tcPr>
            <w:tcW w:w="3872" w:type="pct"/>
            <w:gridSpan w:val="4"/>
            <w:vAlign w:val="center"/>
          </w:tcPr>
          <w:p w14:paraId="6F592EA2">
            <w:pPr>
              <w:jc w:val="center"/>
              <w:rPr>
                <w:rFonts w:hint="default" w:ascii="Times New Roman" w:hAnsi="Times New Roman" w:eastAsia="宋体"/>
                <w:b/>
                <w:bCs/>
                <w:sz w:val="18"/>
                <w:szCs w:val="21"/>
                <w:vertAlign w:val="baseline"/>
                <w:lang w:val="en-US" w:eastAsia="zh-CN"/>
              </w:rPr>
            </w:pPr>
            <w:r>
              <w:rPr>
                <w:rFonts w:hint="eastAsia" w:ascii="Times New Roman" w:hAnsi="Times New Roman" w:eastAsia="宋体"/>
                <w:b/>
                <w:bCs/>
                <w:sz w:val="18"/>
                <w:szCs w:val="21"/>
                <w:vertAlign w:val="baseline"/>
                <w:lang w:val="en-US" w:eastAsia="zh-CN"/>
              </w:rPr>
              <w:t>服务价格总计</w:t>
            </w:r>
          </w:p>
        </w:tc>
        <w:tc>
          <w:tcPr>
            <w:tcW w:w="1127" w:type="pct"/>
            <w:gridSpan w:val="2"/>
            <w:vAlign w:val="center"/>
          </w:tcPr>
          <w:p w14:paraId="12CE1B79">
            <w:pPr>
              <w:jc w:val="both"/>
              <w:rPr>
                <w:rFonts w:ascii="Times New Roman" w:hAnsi="Times New Roman" w:eastAsia="宋体"/>
                <w:b/>
                <w:bCs/>
                <w:sz w:val="18"/>
                <w:szCs w:val="21"/>
                <w:vertAlign w:val="baseline"/>
              </w:rPr>
            </w:pPr>
          </w:p>
        </w:tc>
      </w:tr>
    </w:tbl>
    <w:p w14:paraId="39AB39C4"/>
    <w:sectPr>
      <w:pgSz w:w="11906" w:h="16838"/>
      <w:pgMar w:top="850" w:right="1020" w:bottom="567" w:left="10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黑体_GBK">
    <w:panose1 w:val="02000000000000000000"/>
    <w:charset w:val="86"/>
    <w:family w:val="auto"/>
    <w:pitch w:val="default"/>
    <w:sig w:usb0="A00002BF" w:usb1="38CF7CFA" w:usb2="00082016" w:usb3="00000000" w:csb0="00040001" w:csb1="00000000"/>
  </w:font>
  <w:font w:name="华文细黑">
    <w:panose1 w:val="02010600040101010101"/>
    <w:charset w:val="86"/>
    <w:family w:val="auto"/>
    <w:pitch w:val="default"/>
    <w:sig w:usb0="00000287" w:usb1="080F0000" w:usb2="00000000" w:usb3="00000000" w:csb0="0004009F" w:csb1="DFD70000"/>
  </w:font>
  <w:font w:name="华文琥珀">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幼圆">
    <w:panose1 w:val="02010509060101010101"/>
    <w:charset w:val="86"/>
    <w:family w:val="auto"/>
    <w:pitch w:val="default"/>
    <w:sig w:usb0="00000001" w:usb1="080E0000" w:usb2="00000000" w:usb3="00000000" w:csb0="00040000" w:csb1="00000000"/>
  </w:font>
  <w:font w:name="新宋体">
    <w:panose1 w:val="02010609030101010101"/>
    <w:charset w:val="86"/>
    <w:family w:val="auto"/>
    <w:pitch w:val="default"/>
    <w:sig w:usb0="00000203" w:usb1="288F0000" w:usb2="00000006" w:usb3="00000000" w:csb0="00040001" w:csb1="00000000"/>
  </w:font>
  <w:font w:name="方正大标宋简体">
    <w:panose1 w:val="02010601030101010101"/>
    <w:charset w:val="86"/>
    <w:family w:val="auto"/>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6BF5D3"/>
    <w:multiLevelType w:val="singleLevel"/>
    <w:tmpl w:val="466BF5D3"/>
    <w:lvl w:ilvl="0" w:tentative="0">
      <w:start w:val="1"/>
      <w:numFmt w:val="bullet"/>
      <w:pStyle w:val="3"/>
      <w:suff w:val="nothing"/>
      <w:lvlText w:val=""/>
      <w:lvlJc w:val="left"/>
      <w:pPr>
        <w:tabs>
          <w:tab w:val="left" w:pos="420"/>
        </w:tabs>
        <w:ind w:left="420" w:hanging="420"/>
      </w:pPr>
      <w:rPr>
        <w:rFonts w:hint="default" w:ascii="Wingdings" w:hAnsi="Wingdings"/>
        <w:color w:val="FF000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F90E31"/>
    <w:rsid w:val="076560F8"/>
    <w:rsid w:val="210C2494"/>
    <w:rsid w:val="23DC3EF7"/>
    <w:rsid w:val="28CB24B0"/>
    <w:rsid w:val="44183E21"/>
    <w:rsid w:val="640B7652"/>
    <w:rsid w:val="6FF90E31"/>
    <w:rsid w:val="7F5B2E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after="100" w:afterLines="100" w:line="360" w:lineRule="auto"/>
      <w:jc w:val="center"/>
      <w:outlineLvl w:val="0"/>
    </w:pPr>
    <w:rPr>
      <w:rFonts w:ascii="Arial" w:hAnsi="Arial" w:eastAsia="仿宋_GB2312" w:cs="宋体"/>
      <w:b/>
      <w:bCs/>
      <w:kern w:val="44"/>
      <w:sz w:val="52"/>
      <w:szCs w:val="52"/>
      <w:lang w:bidi="ar"/>
    </w:rPr>
  </w:style>
  <w:style w:type="character" w:default="1" w:styleId="6">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toc 1"/>
    <w:basedOn w:val="1"/>
    <w:next w:val="1"/>
    <w:qFormat/>
    <w:uiPriority w:val="0"/>
    <w:pPr>
      <w:numPr>
        <w:ilvl w:val="0"/>
        <w:numId w:val="1"/>
      </w:numPr>
      <w:spacing w:line="460" w:lineRule="exact"/>
      <w:ind w:left="990" w:leftChars="300" w:hanging="360" w:hangingChars="100"/>
    </w:pPr>
    <w:rPr>
      <w:rFonts w:ascii="Times New Roman" w:hAnsi="Times New Roman" w:eastAsia="方正仿宋_GBK"/>
      <w:sz w:val="32"/>
    </w:rPr>
  </w:style>
  <w:style w:type="table" w:styleId="5">
    <w:name w:val="Table Grid"/>
    <w:basedOn w:val="4"/>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35</TotalTime>
  <ScaleCrop>false</ScaleCrop>
  <LinksUpToDate>false</LinksUpToDate>
  <CharactersWithSpaces>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2025-12-25T06:59:00Z</dcterms:created>
  <dc:creator>20314</dc:creator>
  <cp:lastModifiedBy>20314</cp:lastModifiedBy>
  <dcterms:modified xsi:type="dcterms:W3CDTF">2025-12-25T07:44:03Z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0E41FDB0417B41E0AF1B02B2130EF7F0_11</vt:lpwstr>
  </property>
</Properties>
</file>